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4480E" w14:textId="77777777" w:rsidR="008666C3" w:rsidRPr="00EA2C12" w:rsidRDefault="00E77965" w:rsidP="004B070D">
      <w:pPr>
        <w:rPr>
          <w:b/>
          <w:sz w:val="32"/>
          <w:szCs w:val="32"/>
        </w:rPr>
      </w:pPr>
      <w:bookmarkStart w:id="0" w:name="_GoBack"/>
      <w:bookmarkEnd w:id="0"/>
      <w:r w:rsidRPr="00EA2C12">
        <w:rPr>
          <w:b/>
          <w:sz w:val="32"/>
          <w:szCs w:val="32"/>
        </w:rPr>
        <w:t>GIA Operations Limited</w:t>
      </w:r>
      <w:r w:rsidR="007B5162">
        <w:rPr>
          <w:b/>
          <w:sz w:val="32"/>
          <w:szCs w:val="32"/>
        </w:rPr>
        <w:t xml:space="preserve"> (GOL)</w:t>
      </w:r>
    </w:p>
    <w:p w14:paraId="0C7D190E" w14:textId="77777777" w:rsidR="008666C3" w:rsidRPr="004B070D" w:rsidRDefault="008666C3" w:rsidP="004B070D">
      <w:r w:rsidRPr="004B070D">
        <w:rPr>
          <w:rStyle w:val="HeadChar"/>
        </w:rPr>
        <w:t>Terms of Trade</w:t>
      </w:r>
      <w:r w:rsidR="00A110FC" w:rsidRPr="004B070D">
        <w:rPr>
          <w:sz w:val="28"/>
          <w:szCs w:val="28"/>
        </w:rPr>
        <w:tab/>
      </w:r>
      <w:r w:rsidR="00A110FC" w:rsidRPr="004B070D">
        <w:tab/>
      </w:r>
      <w:r w:rsidR="00A110FC" w:rsidRPr="004B070D">
        <w:tab/>
      </w:r>
      <w:r w:rsidR="00A110FC" w:rsidRPr="004B070D">
        <w:tab/>
      </w:r>
      <w:r w:rsidR="00A110FC" w:rsidRPr="004B070D">
        <w:tab/>
      </w:r>
      <w:r w:rsidR="00A110FC" w:rsidRPr="004B070D">
        <w:tab/>
      </w:r>
      <w:r w:rsidR="00A110FC" w:rsidRPr="004B070D">
        <w:tab/>
      </w:r>
      <w:r w:rsidR="00A94DC9" w:rsidRPr="004B070D">
        <w:tab/>
      </w:r>
      <w:r w:rsidR="00E922BD" w:rsidRPr="004B070D">
        <w:t xml:space="preserve">        </w:t>
      </w:r>
      <w:r w:rsidR="007B5162">
        <w:t>August 2018</w:t>
      </w:r>
      <w:r w:rsidR="00E922BD" w:rsidRPr="004B070D">
        <w:t xml:space="preserve"> </w:t>
      </w:r>
      <w:r w:rsidR="00A110FC" w:rsidRPr="004B070D">
        <w:t>201</w:t>
      </w:r>
      <w:r w:rsidR="007B5162">
        <w:t>8</w:t>
      </w:r>
    </w:p>
    <w:p w14:paraId="3636EB01" w14:textId="77777777" w:rsidR="00084D1E" w:rsidRDefault="00084D1E" w:rsidP="004B070D">
      <w:r w:rsidRPr="004B070D">
        <w:t xml:space="preserve">These terms apply to every </w:t>
      </w:r>
      <w:r w:rsidR="005956FF">
        <w:t xml:space="preserve">contract or arrangement GOL enters into </w:t>
      </w:r>
      <w:r w:rsidR="00F56E73">
        <w:t xml:space="preserve">for </w:t>
      </w:r>
      <w:r w:rsidR="005956FF">
        <w:t xml:space="preserve">every </w:t>
      </w:r>
      <w:r w:rsidRPr="004B070D">
        <w:t>service GOL provides</w:t>
      </w:r>
      <w:r w:rsidR="0070097D" w:rsidRPr="004B070D">
        <w:t>.</w:t>
      </w:r>
      <w:r w:rsidR="00C23370" w:rsidRPr="004B070D">
        <w:t xml:space="preserve">  </w:t>
      </w:r>
      <w:r w:rsidR="005956FF">
        <w:t xml:space="preserve">These terms may only be varied in writing by GOL. </w:t>
      </w:r>
      <w:r w:rsidR="00F94D8D">
        <w:t>The GIA Secretariat may act as GOL’s agent.</w:t>
      </w:r>
    </w:p>
    <w:p w14:paraId="73E252B0" w14:textId="77777777" w:rsidR="00945324" w:rsidRDefault="00945324" w:rsidP="004B070D">
      <w:r>
        <w:t>GOL is a co-operative</w:t>
      </w:r>
      <w:r w:rsidR="00F56E73">
        <w:t xml:space="preserve"> company</w:t>
      </w:r>
      <w:r>
        <w:t xml:space="preserve">, </w:t>
      </w:r>
      <w:r w:rsidR="00F56E73">
        <w:t xml:space="preserve">providing services </w:t>
      </w:r>
      <w:r w:rsidR="007B5162">
        <w:t xml:space="preserve">primarily </w:t>
      </w:r>
      <w:r w:rsidR="00F56E73">
        <w:t xml:space="preserve">to GIA members, and owned by </w:t>
      </w:r>
      <w:r w:rsidR="007B5162">
        <w:t xml:space="preserve">industry </w:t>
      </w:r>
      <w:r w:rsidR="00F56E73">
        <w:t>members of GIA. Participating members have not provisioned GOL with substantial reserves, so GOL is unable to assume risks associated with default, late payment, project over-runs and the like. Consequently, members using GOL’s services recognise that these risks remain with members, not with GOL, and members need to address</w:t>
      </w:r>
      <w:r w:rsidR="00CF11D1">
        <w:t xml:space="preserve"> </w:t>
      </w:r>
      <w:r w:rsidR="00F56E73">
        <w:t>these risks by other mechanisms.</w:t>
      </w:r>
    </w:p>
    <w:p w14:paraId="4C8B1529" w14:textId="77777777" w:rsidR="00EC2FBE" w:rsidRPr="004B070D" w:rsidRDefault="00583B9D" w:rsidP="004B070D">
      <w:r>
        <w:t>Using</w:t>
      </w:r>
      <w:r w:rsidR="00EC2FBE">
        <w:t xml:space="preserve"> GO</w:t>
      </w:r>
      <w:r w:rsidR="004D20F9">
        <w:t>L</w:t>
      </w:r>
      <w:r w:rsidR="00EC2FBE">
        <w:t xml:space="preserve">’s services </w:t>
      </w:r>
      <w:r>
        <w:t xml:space="preserve">is </w:t>
      </w:r>
      <w:r w:rsidR="00EC2FBE">
        <w:t xml:space="preserve">deemed to </w:t>
      </w:r>
      <w:r>
        <w:t xml:space="preserve">be acceptance </w:t>
      </w:r>
      <w:r w:rsidR="00B3568D">
        <w:t xml:space="preserve">of </w:t>
      </w:r>
      <w:r w:rsidR="007C5069">
        <w:t>these terms.</w:t>
      </w:r>
    </w:p>
    <w:p w14:paraId="0EB79D0A" w14:textId="77777777" w:rsidR="0056216D" w:rsidRPr="00641FBF" w:rsidRDefault="0056216D" w:rsidP="00641FBF">
      <w:pPr>
        <w:pStyle w:val="Heading1"/>
      </w:pPr>
      <w:r w:rsidRPr="00641FBF">
        <w:t>Definitions</w:t>
      </w:r>
    </w:p>
    <w:p w14:paraId="351045A0" w14:textId="77777777" w:rsidR="00E77965" w:rsidRPr="004B070D" w:rsidRDefault="00E77965" w:rsidP="00641FBF">
      <w:pPr>
        <w:pStyle w:val="Heading2"/>
      </w:pPr>
      <w:r w:rsidRPr="004B070D">
        <w:t>In these terms, unless the context otherwise requires:</w:t>
      </w:r>
    </w:p>
    <w:p w14:paraId="4C4BDF6B" w14:textId="77777777" w:rsidR="00E77965" w:rsidRPr="004B070D" w:rsidRDefault="00E77965" w:rsidP="00641FBF">
      <w:pPr>
        <w:ind w:left="1134"/>
      </w:pPr>
      <w:r w:rsidRPr="004B070D">
        <w:t>“</w:t>
      </w:r>
      <w:r w:rsidRPr="00641FBF">
        <w:rPr>
          <w:b/>
        </w:rPr>
        <w:t>Contributions</w:t>
      </w:r>
      <w:r w:rsidRPr="004B070D">
        <w:t>” includes voluntary contributions</w:t>
      </w:r>
      <w:r w:rsidR="005932C4">
        <w:t>.</w:t>
      </w:r>
    </w:p>
    <w:p w14:paraId="15C6F2FA" w14:textId="77777777" w:rsidR="00E77965" w:rsidRDefault="00E77965" w:rsidP="00641FBF">
      <w:pPr>
        <w:ind w:left="1134"/>
      </w:pPr>
      <w:r w:rsidRPr="004B070D">
        <w:t>“</w:t>
      </w:r>
      <w:r w:rsidRPr="00641FBF">
        <w:rPr>
          <w:b/>
        </w:rPr>
        <w:t>GOL</w:t>
      </w:r>
      <w:r w:rsidRPr="004B070D">
        <w:t>” means GIA Operations Limited.</w:t>
      </w:r>
    </w:p>
    <w:p w14:paraId="0C6411E7" w14:textId="77777777" w:rsidR="005932C4" w:rsidRDefault="005932C4" w:rsidP="00641FBF">
      <w:pPr>
        <w:ind w:left="1134"/>
      </w:pPr>
      <w:r>
        <w:t>“</w:t>
      </w:r>
      <w:r w:rsidRPr="005932C4">
        <w:rPr>
          <w:b/>
        </w:rPr>
        <w:t>GIA Deed</w:t>
      </w:r>
      <w:r>
        <w:t xml:space="preserve">” means </w:t>
      </w:r>
      <w:r w:rsidRPr="005932C4">
        <w:t>the latest version of the Government Industry Agreement for Biosecurity Readiness and Response made pursuant to the Biosecurity Act 1993</w:t>
      </w:r>
      <w:r>
        <w:t>.</w:t>
      </w:r>
    </w:p>
    <w:p w14:paraId="760F7D6B" w14:textId="77777777" w:rsidR="00564C0E" w:rsidRPr="004B070D" w:rsidRDefault="00564C0E" w:rsidP="00641FBF">
      <w:pPr>
        <w:ind w:left="1134"/>
      </w:pPr>
      <w:r>
        <w:t>“</w:t>
      </w:r>
      <w:r w:rsidRPr="00564C0E">
        <w:rPr>
          <w:b/>
        </w:rPr>
        <w:t>MPI</w:t>
      </w:r>
      <w:r>
        <w:t>” means the Ministry of Primary Industries.</w:t>
      </w:r>
    </w:p>
    <w:p w14:paraId="4B4B5C0B" w14:textId="77777777" w:rsidR="00E77965" w:rsidRPr="004B070D" w:rsidRDefault="00B25B9C" w:rsidP="00641FBF">
      <w:pPr>
        <w:ind w:left="1134"/>
      </w:pPr>
      <w:r w:rsidRPr="004B070D">
        <w:t>“</w:t>
      </w:r>
      <w:r w:rsidR="0070097D" w:rsidRPr="00641FBF">
        <w:rPr>
          <w:b/>
        </w:rPr>
        <w:t>OA</w:t>
      </w:r>
      <w:r w:rsidRPr="004B070D">
        <w:t>”</w:t>
      </w:r>
      <w:r w:rsidR="0070097D" w:rsidRPr="004B070D">
        <w:t xml:space="preserve"> means an </w:t>
      </w:r>
      <w:r w:rsidRPr="004B070D">
        <w:t>O</w:t>
      </w:r>
      <w:r w:rsidR="0070097D" w:rsidRPr="004B070D">
        <w:t xml:space="preserve">perational </w:t>
      </w:r>
      <w:r w:rsidRPr="004B070D">
        <w:t>A</w:t>
      </w:r>
      <w:r w:rsidR="0070097D" w:rsidRPr="004B070D">
        <w:t xml:space="preserve">greement </w:t>
      </w:r>
      <w:r w:rsidR="005932C4">
        <w:t>for the purposes of the GIA Deed.</w:t>
      </w:r>
    </w:p>
    <w:p w14:paraId="2516FAAC" w14:textId="77777777" w:rsidR="00E77965" w:rsidRPr="004B070D" w:rsidRDefault="00E77965" w:rsidP="00641FBF">
      <w:pPr>
        <w:ind w:left="1134"/>
      </w:pPr>
      <w:r w:rsidRPr="004B070D">
        <w:t>“</w:t>
      </w:r>
      <w:r w:rsidRPr="00564C0E">
        <w:rPr>
          <w:b/>
        </w:rPr>
        <w:t>OA Council</w:t>
      </w:r>
      <w:r w:rsidRPr="004B070D">
        <w:t xml:space="preserve">” means the </w:t>
      </w:r>
      <w:r w:rsidR="005932C4">
        <w:t xml:space="preserve">governance group </w:t>
      </w:r>
      <w:r w:rsidRPr="004B070D">
        <w:t xml:space="preserve">in respect of an OA.  </w:t>
      </w:r>
    </w:p>
    <w:p w14:paraId="7D9B68CE" w14:textId="77777777" w:rsidR="00084D1E" w:rsidRPr="004B070D" w:rsidRDefault="00B25B9C" w:rsidP="00641FBF">
      <w:pPr>
        <w:ind w:left="1134"/>
      </w:pPr>
      <w:r w:rsidRPr="004B070D">
        <w:t>“</w:t>
      </w:r>
      <w:r w:rsidR="0070097D" w:rsidRPr="00641FBF">
        <w:rPr>
          <w:b/>
        </w:rPr>
        <w:t>Signatory</w:t>
      </w:r>
      <w:r w:rsidRPr="004B070D">
        <w:t>”</w:t>
      </w:r>
      <w:r w:rsidR="0070097D" w:rsidRPr="004B070D">
        <w:t xml:space="preserve"> means </w:t>
      </w:r>
      <w:r w:rsidR="00084D1E" w:rsidRPr="004B070D">
        <w:t>a party to an OA</w:t>
      </w:r>
      <w:r w:rsidR="0070097D" w:rsidRPr="004B070D">
        <w:t xml:space="preserve"> and includes an intending party</w:t>
      </w:r>
      <w:r w:rsidR="00641FBF">
        <w:t>, and “</w:t>
      </w:r>
      <w:r w:rsidR="008F3BD2" w:rsidRPr="00641FBF">
        <w:rPr>
          <w:b/>
        </w:rPr>
        <w:t>participating</w:t>
      </w:r>
      <w:r w:rsidR="009A39CA" w:rsidRPr="00641FBF">
        <w:rPr>
          <w:b/>
        </w:rPr>
        <w:t xml:space="preserve"> Signatory</w:t>
      </w:r>
      <w:r w:rsidR="009A39CA" w:rsidRPr="004B070D">
        <w:t>” means a Signatory that use</w:t>
      </w:r>
      <w:r w:rsidR="00564C0E">
        <w:t>s</w:t>
      </w:r>
      <w:r w:rsidR="009A39CA" w:rsidRPr="004B070D">
        <w:t xml:space="preserve"> the services of GOL.</w:t>
      </w:r>
    </w:p>
    <w:p w14:paraId="4E109C3F" w14:textId="77777777" w:rsidR="00B25B9C" w:rsidRPr="004B070D" w:rsidRDefault="00E77965" w:rsidP="00641FBF">
      <w:pPr>
        <w:ind w:left="1134"/>
      </w:pPr>
      <w:r w:rsidRPr="004B070D">
        <w:t>T</w:t>
      </w:r>
      <w:r w:rsidR="00B25B9C" w:rsidRPr="004B070D">
        <w:t>he singular includes the plural, and reference to persons includes all entities.</w:t>
      </w:r>
    </w:p>
    <w:p w14:paraId="6E470F00" w14:textId="77777777" w:rsidR="00E77965" w:rsidRPr="004B070D" w:rsidRDefault="00E77965" w:rsidP="00641FBF">
      <w:pPr>
        <w:ind w:left="1134"/>
      </w:pPr>
      <w:r w:rsidRPr="004B070D">
        <w:t xml:space="preserve">References to </w:t>
      </w:r>
      <w:r w:rsidRPr="00564C0E">
        <w:rPr>
          <w:b/>
        </w:rPr>
        <w:t>service provider</w:t>
      </w:r>
      <w:r w:rsidRPr="004B070D">
        <w:t>s includes MPI</w:t>
      </w:r>
      <w:r w:rsidR="005932C4">
        <w:t>.</w:t>
      </w:r>
      <w:r w:rsidR="009400C0">
        <w:t xml:space="preserve">  Service providers may deal with GOL through the GIA Secretariat.</w:t>
      </w:r>
    </w:p>
    <w:p w14:paraId="37176557" w14:textId="77777777" w:rsidR="00084D1E" w:rsidRPr="004B070D" w:rsidRDefault="00A53632" w:rsidP="00641FBF">
      <w:pPr>
        <w:pStyle w:val="Heading1"/>
      </w:pPr>
      <w:r w:rsidRPr="004B070D">
        <w:t>General</w:t>
      </w:r>
      <w:r w:rsidR="0056216D" w:rsidRPr="004B070D">
        <w:t xml:space="preserve"> terms for holding funds</w:t>
      </w:r>
    </w:p>
    <w:p w14:paraId="17979BA4" w14:textId="77777777" w:rsidR="0070097D" w:rsidRPr="00641FBF" w:rsidRDefault="005F20D5" w:rsidP="00641FBF">
      <w:pPr>
        <w:pStyle w:val="Heading2"/>
      </w:pPr>
      <w:r w:rsidRPr="00641FBF">
        <w:t xml:space="preserve">GOL provides the service of </w:t>
      </w:r>
      <w:r w:rsidR="00A53632" w:rsidRPr="00641FBF">
        <w:t>receiving</w:t>
      </w:r>
      <w:r w:rsidR="00084D1E" w:rsidRPr="00641FBF">
        <w:t>, hold</w:t>
      </w:r>
      <w:r w:rsidRPr="00641FBF">
        <w:t>ing</w:t>
      </w:r>
      <w:r w:rsidR="00084D1E" w:rsidRPr="00641FBF">
        <w:t xml:space="preserve"> and dispens</w:t>
      </w:r>
      <w:r w:rsidRPr="00641FBF">
        <w:t>ing</w:t>
      </w:r>
      <w:r w:rsidR="00084D1E" w:rsidRPr="00641FBF">
        <w:t xml:space="preserve"> </w:t>
      </w:r>
      <w:r w:rsidRPr="00641FBF">
        <w:t>funds</w:t>
      </w:r>
      <w:r w:rsidR="00084D1E" w:rsidRPr="00641FBF">
        <w:t xml:space="preserve"> on behalf of participating </w:t>
      </w:r>
      <w:r w:rsidR="0070097D" w:rsidRPr="00641FBF">
        <w:t>Signatories</w:t>
      </w:r>
      <w:r w:rsidRPr="00641FBF">
        <w:t xml:space="preserve"> </w:t>
      </w:r>
      <w:r w:rsidR="00084D1E" w:rsidRPr="00641FBF">
        <w:t>to</w:t>
      </w:r>
      <w:r w:rsidR="0070097D" w:rsidRPr="00641FBF">
        <w:t xml:space="preserve"> pay for:</w:t>
      </w:r>
    </w:p>
    <w:p w14:paraId="2E3A9EAC" w14:textId="77777777" w:rsidR="0070097D" w:rsidRPr="004B070D" w:rsidRDefault="00084D1E" w:rsidP="004B070D">
      <w:pPr>
        <w:pStyle w:val="ListParagraph"/>
        <w:numPr>
          <w:ilvl w:val="0"/>
          <w:numId w:val="1"/>
        </w:numPr>
      </w:pPr>
      <w:r w:rsidRPr="004B070D">
        <w:t>agreed OA administration</w:t>
      </w:r>
      <w:r w:rsidR="0070097D" w:rsidRPr="004B070D">
        <w:t>;</w:t>
      </w:r>
    </w:p>
    <w:p w14:paraId="19E5F9E3" w14:textId="77777777" w:rsidR="00084D1E" w:rsidRPr="004B070D" w:rsidRDefault="00084D1E" w:rsidP="004B070D">
      <w:pPr>
        <w:pStyle w:val="ListParagraph"/>
        <w:numPr>
          <w:ilvl w:val="0"/>
          <w:numId w:val="1"/>
        </w:numPr>
      </w:pPr>
      <w:r w:rsidRPr="004B070D">
        <w:t xml:space="preserve">project </w:t>
      </w:r>
      <w:r w:rsidR="00254A27">
        <w:t>services</w:t>
      </w:r>
      <w:r w:rsidR="0070097D" w:rsidRPr="004B070D">
        <w:t>;</w:t>
      </w:r>
    </w:p>
    <w:p w14:paraId="26B0454B" w14:textId="77777777" w:rsidR="009A39CA" w:rsidRDefault="009A39CA" w:rsidP="004B070D">
      <w:pPr>
        <w:pStyle w:val="ListParagraph"/>
        <w:numPr>
          <w:ilvl w:val="0"/>
          <w:numId w:val="1"/>
        </w:numPr>
      </w:pPr>
      <w:r w:rsidRPr="004B070D">
        <w:t xml:space="preserve">other </w:t>
      </w:r>
      <w:r w:rsidR="00254A27">
        <w:t xml:space="preserve">agreed </w:t>
      </w:r>
      <w:r w:rsidRPr="004B070D">
        <w:t>amounts payable by participating Signatories to MPI</w:t>
      </w:r>
      <w:r w:rsidR="00254A27">
        <w:t xml:space="preserve"> and other parties</w:t>
      </w:r>
      <w:r w:rsidRPr="004B070D">
        <w:t>;</w:t>
      </w:r>
    </w:p>
    <w:p w14:paraId="535F2131" w14:textId="77777777" w:rsidR="007B5162" w:rsidRPr="004B070D" w:rsidRDefault="007B5162" w:rsidP="004B070D">
      <w:pPr>
        <w:pStyle w:val="ListParagraph"/>
        <w:numPr>
          <w:ilvl w:val="0"/>
          <w:numId w:val="1"/>
        </w:numPr>
      </w:pPr>
      <w:r>
        <w:t>GOL administrative costs</w:t>
      </w:r>
      <w:r w:rsidR="00583B9D">
        <w:t xml:space="preserve">; and </w:t>
      </w:r>
    </w:p>
    <w:p w14:paraId="03893191" w14:textId="77777777" w:rsidR="0070097D" w:rsidRPr="004B070D" w:rsidRDefault="0070097D" w:rsidP="004B070D">
      <w:pPr>
        <w:pStyle w:val="ListParagraph"/>
        <w:numPr>
          <w:ilvl w:val="0"/>
          <w:numId w:val="1"/>
        </w:numPr>
      </w:pPr>
      <w:r w:rsidRPr="004B070D">
        <w:t xml:space="preserve">other purposes as agreed with the </w:t>
      </w:r>
      <w:r w:rsidR="009400C0">
        <w:t xml:space="preserve">participating </w:t>
      </w:r>
      <w:r w:rsidRPr="004B070D">
        <w:t>Signatory.</w:t>
      </w:r>
    </w:p>
    <w:p w14:paraId="413F3635" w14:textId="77777777" w:rsidR="0089092D" w:rsidRPr="004B070D" w:rsidRDefault="0070097D" w:rsidP="00641FBF">
      <w:pPr>
        <w:pStyle w:val="Heading2"/>
      </w:pPr>
      <w:r w:rsidRPr="004B070D">
        <w:t xml:space="preserve">Unless otherwise agreed in a particular instance, </w:t>
      </w:r>
      <w:r w:rsidR="00A53632" w:rsidRPr="004B070D">
        <w:t>all</w:t>
      </w:r>
      <w:r w:rsidRPr="004B070D">
        <w:t xml:space="preserve"> funds received </w:t>
      </w:r>
      <w:r w:rsidR="009400C0">
        <w:t xml:space="preserve">by GOL </w:t>
      </w:r>
      <w:r w:rsidR="0056216D" w:rsidRPr="004B070D">
        <w:t xml:space="preserve">from a Signatory are </w:t>
      </w:r>
      <w:r w:rsidRPr="004B070D">
        <w:t>held by GOL on behalf of th</w:t>
      </w:r>
      <w:r w:rsidR="0056216D" w:rsidRPr="004B070D">
        <w:t>at</w:t>
      </w:r>
      <w:r w:rsidRPr="004B070D">
        <w:t xml:space="preserve"> Signatory, at th</w:t>
      </w:r>
      <w:r w:rsidR="0056216D" w:rsidRPr="004B070D">
        <w:t>at</w:t>
      </w:r>
      <w:r w:rsidRPr="004B070D">
        <w:t xml:space="preserve"> Signatory’s </w:t>
      </w:r>
      <w:r w:rsidR="009400C0">
        <w:t xml:space="preserve">sole </w:t>
      </w:r>
      <w:r w:rsidRPr="004B070D">
        <w:t>risk</w:t>
      </w:r>
      <w:r w:rsidR="00A53632" w:rsidRPr="004B070D">
        <w:t xml:space="preserve"> </w:t>
      </w:r>
      <w:r w:rsidR="00A53632" w:rsidRPr="004B070D">
        <w:lastRenderedPageBreak/>
        <w:t>(including as to tax)</w:t>
      </w:r>
      <w:r w:rsidRPr="004B070D">
        <w:t>, until disbursed by GOL in accordance with th</w:t>
      </w:r>
      <w:r w:rsidR="0056216D" w:rsidRPr="004B070D">
        <w:t>at</w:t>
      </w:r>
      <w:r w:rsidRPr="004B070D">
        <w:t xml:space="preserve"> Signatory’s instructions or by prior agreement</w:t>
      </w:r>
      <w:r w:rsidR="00A53632" w:rsidRPr="004B070D">
        <w:t xml:space="preserve"> (for example, to pay for services as below)</w:t>
      </w:r>
      <w:r w:rsidRPr="004B070D">
        <w:t>.</w:t>
      </w:r>
      <w:r w:rsidR="00544A67">
        <w:t xml:space="preserve"> </w:t>
      </w:r>
    </w:p>
    <w:p w14:paraId="310F6160" w14:textId="77777777" w:rsidR="006121DB" w:rsidRDefault="006121DB" w:rsidP="00641FBF">
      <w:pPr>
        <w:pStyle w:val="Heading2"/>
      </w:pPr>
      <w:r w:rsidRPr="004B070D">
        <w:t xml:space="preserve">Payment by GOL to MPI </w:t>
      </w:r>
      <w:r w:rsidR="00A53632" w:rsidRPr="004B070D">
        <w:t xml:space="preserve">or the relevant service provider </w:t>
      </w:r>
      <w:r w:rsidRPr="004B070D">
        <w:t xml:space="preserve">shall act as a </w:t>
      </w:r>
      <w:r w:rsidR="009400C0">
        <w:t xml:space="preserve">full </w:t>
      </w:r>
      <w:r w:rsidRPr="004B070D">
        <w:t xml:space="preserve">discharge of GOL’s responsibility to the </w:t>
      </w:r>
      <w:r w:rsidR="009400C0">
        <w:t>participating</w:t>
      </w:r>
      <w:r w:rsidRPr="004B070D">
        <w:t xml:space="preserve"> Signatory in respect of those funds.</w:t>
      </w:r>
    </w:p>
    <w:p w14:paraId="36177CB6" w14:textId="77777777" w:rsidR="009400C0" w:rsidRPr="009400C0" w:rsidRDefault="009400C0" w:rsidP="007E2BDE">
      <w:pPr>
        <w:pStyle w:val="Heading2"/>
      </w:pPr>
      <w:r w:rsidRPr="009400C0">
        <w:t>GOL shall not be liable to pay interest</w:t>
      </w:r>
      <w:r>
        <w:t xml:space="preserve"> in respect of funds held</w:t>
      </w:r>
      <w:r w:rsidRPr="009400C0">
        <w:t xml:space="preserve">.  </w:t>
      </w:r>
    </w:p>
    <w:p w14:paraId="3E182DFB" w14:textId="77777777" w:rsidR="005F20D5" w:rsidRPr="004B070D" w:rsidRDefault="005F20D5" w:rsidP="00641FBF">
      <w:pPr>
        <w:pStyle w:val="Heading1"/>
      </w:pPr>
      <w:r w:rsidRPr="004B070D">
        <w:t xml:space="preserve">Contracts for </w:t>
      </w:r>
      <w:r w:rsidR="009400C0">
        <w:t xml:space="preserve">Projects and </w:t>
      </w:r>
      <w:r w:rsidRPr="004B070D">
        <w:t>Services</w:t>
      </w:r>
    </w:p>
    <w:p w14:paraId="40A8C42F" w14:textId="77777777" w:rsidR="005F20D5" w:rsidRPr="004B070D" w:rsidRDefault="005F20D5" w:rsidP="00641FBF">
      <w:pPr>
        <w:pStyle w:val="Heading2"/>
      </w:pPr>
      <w:r w:rsidRPr="004B070D">
        <w:t>GOL</w:t>
      </w:r>
      <w:r w:rsidR="007C5069">
        <w:t>’s service</w:t>
      </w:r>
      <w:r w:rsidR="009B1273">
        <w:t>s</w:t>
      </w:r>
      <w:r w:rsidR="007C5069">
        <w:t xml:space="preserve"> may include </w:t>
      </w:r>
      <w:r w:rsidRPr="004B070D">
        <w:t>enter</w:t>
      </w:r>
      <w:r w:rsidR="007C5069">
        <w:t>ing</w:t>
      </w:r>
      <w:r w:rsidRPr="004B070D">
        <w:t xml:space="preserve"> in</w:t>
      </w:r>
      <w:r w:rsidR="006121DB" w:rsidRPr="004B070D">
        <w:t>to</w:t>
      </w:r>
      <w:r w:rsidRPr="004B070D">
        <w:t xml:space="preserve"> contracts for </w:t>
      </w:r>
      <w:r w:rsidR="00564C0E">
        <w:t xml:space="preserve">projects and </w:t>
      </w:r>
      <w:r w:rsidRPr="004B070D">
        <w:t>service</w:t>
      </w:r>
      <w:r w:rsidR="006121DB" w:rsidRPr="004B070D">
        <w:t xml:space="preserve">s </w:t>
      </w:r>
      <w:r w:rsidR="00A53632" w:rsidRPr="004B070D">
        <w:t xml:space="preserve">with service providers </w:t>
      </w:r>
      <w:r w:rsidR="006121DB" w:rsidRPr="004B070D">
        <w:t xml:space="preserve">as instructed by </w:t>
      </w:r>
      <w:r w:rsidR="00254A27">
        <w:t>one or more participating Signatory.</w:t>
      </w:r>
      <w:r w:rsidR="00206C33" w:rsidRPr="004B070D">
        <w:t xml:space="preserve">  </w:t>
      </w:r>
    </w:p>
    <w:p w14:paraId="257B1C49" w14:textId="77777777" w:rsidR="005F20D5" w:rsidRPr="004B070D" w:rsidRDefault="005F20D5" w:rsidP="00641FBF">
      <w:pPr>
        <w:pStyle w:val="Heading2"/>
      </w:pPr>
      <w:r w:rsidRPr="004B070D">
        <w:t>The GIA Secretariat or service providers will invoice GOL for work done on these projects and services, and G</w:t>
      </w:r>
      <w:r w:rsidR="00206C33" w:rsidRPr="004B070D">
        <w:t xml:space="preserve">OL will pay these invoices. </w:t>
      </w:r>
      <w:r w:rsidRPr="004B070D">
        <w:t xml:space="preserve">GOL will log the amounts attributable to each </w:t>
      </w:r>
      <w:r w:rsidR="00206C33" w:rsidRPr="004B070D">
        <w:t>Signatory</w:t>
      </w:r>
      <w:r w:rsidRPr="004B070D">
        <w:t xml:space="preserve"> in accordance with the relevant OA.</w:t>
      </w:r>
      <w:r w:rsidR="00206C33" w:rsidRPr="004B070D">
        <w:t xml:space="preserve">  Each Signatory will be liable to pay GOL for those logged amounts.  </w:t>
      </w:r>
    </w:p>
    <w:p w14:paraId="7EF8F4DB" w14:textId="77777777" w:rsidR="00C12E5A" w:rsidRPr="004B070D" w:rsidRDefault="00C12E5A" w:rsidP="00641FBF">
      <w:pPr>
        <w:pStyle w:val="Heading2"/>
      </w:pPr>
      <w:r w:rsidRPr="004B070D">
        <w:t xml:space="preserve">Where GOL agrees to undertake a large project at the request of a Signatory or OA Council, arrangements </w:t>
      </w:r>
      <w:r w:rsidR="00564C0E">
        <w:t>will</w:t>
      </w:r>
      <w:r w:rsidRPr="004B070D">
        <w:t xml:space="preserve"> be agreed to ensure GOL is not exposed to cost overruns or payment default.  </w:t>
      </w:r>
      <w:r w:rsidRPr="004B070D">
        <w:tab/>
      </w:r>
    </w:p>
    <w:p w14:paraId="2FD67BAE" w14:textId="77777777" w:rsidR="007F0EE2" w:rsidRDefault="00680EE4" w:rsidP="00641FBF">
      <w:pPr>
        <w:pStyle w:val="Heading2"/>
      </w:pPr>
      <w:r w:rsidRPr="004B070D">
        <w:t xml:space="preserve">Any dispute relating to projects or services </w:t>
      </w:r>
      <w:r w:rsidR="00564C0E">
        <w:t xml:space="preserve">entered into by GOL under clause 3 </w:t>
      </w:r>
      <w:r w:rsidRPr="004B070D">
        <w:t xml:space="preserve">shall be resolved between the </w:t>
      </w:r>
      <w:r w:rsidR="00F72526">
        <w:t xml:space="preserve">relevant </w:t>
      </w:r>
      <w:r w:rsidR="005B282A">
        <w:t>Signator</w:t>
      </w:r>
      <w:r w:rsidR="00254A27">
        <w:t xml:space="preserve">(ies), </w:t>
      </w:r>
      <w:r w:rsidRPr="004B070D">
        <w:t>OA Council and the service provider</w:t>
      </w:r>
      <w:r w:rsidR="005B282A">
        <w:t>.</w:t>
      </w:r>
    </w:p>
    <w:p w14:paraId="5253A172" w14:textId="77777777" w:rsidR="005B282A" w:rsidRPr="005B282A" w:rsidRDefault="001718FE" w:rsidP="005B282A">
      <w:pPr>
        <w:pStyle w:val="Heading2"/>
      </w:pPr>
      <w:r>
        <w:t>Where it is consistent with GOL’s purpose</w:t>
      </w:r>
      <w:r w:rsidR="005B282A">
        <w:t>, GOL may provide services to non-Signatory customers. Where this happens, the same terms of trade will apply</w:t>
      </w:r>
      <w:r w:rsidR="007C5069">
        <w:t xml:space="preserve"> as if that customer was a participating Signatory</w:t>
      </w:r>
      <w:r w:rsidR="005B282A">
        <w:t>.</w:t>
      </w:r>
    </w:p>
    <w:p w14:paraId="6D656715" w14:textId="77777777" w:rsidR="005F20D5" w:rsidRPr="004B070D" w:rsidRDefault="005F20D5" w:rsidP="00641FBF">
      <w:pPr>
        <w:pStyle w:val="Heading1"/>
      </w:pPr>
      <w:r w:rsidRPr="004B070D">
        <w:t>Payment in advance</w:t>
      </w:r>
    </w:p>
    <w:p w14:paraId="66307435" w14:textId="77777777" w:rsidR="009A39CA" w:rsidRPr="004B070D" w:rsidRDefault="003D52CE" w:rsidP="00641FBF">
      <w:pPr>
        <w:pStyle w:val="Heading2"/>
      </w:pPr>
      <w:r w:rsidRPr="004B070D">
        <w:t xml:space="preserve">Signatories </w:t>
      </w:r>
      <w:r w:rsidR="009B1273">
        <w:t xml:space="preserve">may choose to </w:t>
      </w:r>
      <w:r w:rsidRPr="004B070D">
        <w:t xml:space="preserve"> make </w:t>
      </w:r>
      <w:r w:rsidR="00F72526">
        <w:t xml:space="preserve">all </w:t>
      </w:r>
      <w:r w:rsidR="009A39CA" w:rsidRPr="004B070D">
        <w:t>payments</w:t>
      </w:r>
      <w:r w:rsidR="00F72526">
        <w:t xml:space="preserve"> to GOL </w:t>
      </w:r>
      <w:r w:rsidR="009A39CA" w:rsidRPr="004B070D">
        <w:t>in advance</w:t>
      </w:r>
      <w:r w:rsidR="001718FE">
        <w:t xml:space="preserve"> (ie when the service is agreed by the Signator(ies), and before the expense has been incurred)</w:t>
      </w:r>
      <w:r w:rsidR="009A39CA" w:rsidRPr="004B070D">
        <w:t>.</w:t>
      </w:r>
      <w:r w:rsidR="002F720C">
        <w:t xml:space="preserve">  GOL will hold those funds on the terms set out in clause 2.</w:t>
      </w:r>
    </w:p>
    <w:p w14:paraId="6BE6FE87" w14:textId="77777777" w:rsidR="00084D1E" w:rsidRPr="00981B89" w:rsidRDefault="00084D1E" w:rsidP="00981B89">
      <w:pPr>
        <w:pStyle w:val="Heading2"/>
      </w:pPr>
      <w:r w:rsidRPr="00981B89">
        <w:t xml:space="preserve">GOL will invoice </w:t>
      </w:r>
      <w:r w:rsidR="003C5E8E" w:rsidRPr="00981B89">
        <w:t>Signatories</w:t>
      </w:r>
      <w:r w:rsidRPr="00981B89">
        <w:t xml:space="preserve"> </w:t>
      </w:r>
      <w:r w:rsidR="007C5069">
        <w:t xml:space="preserve">regularly (in most cases, </w:t>
      </w:r>
      <w:r w:rsidRPr="00981B89">
        <w:t>quarterly</w:t>
      </w:r>
      <w:r w:rsidR="007C5069">
        <w:t>)</w:t>
      </w:r>
      <w:r w:rsidRPr="00981B89">
        <w:t xml:space="preserve"> to collect </w:t>
      </w:r>
      <w:r w:rsidR="0089092D" w:rsidRPr="00981B89">
        <w:t>C</w:t>
      </w:r>
      <w:r w:rsidRPr="00981B89">
        <w:t>ontributions as advance payment (</w:t>
      </w:r>
      <w:r w:rsidR="002F720C">
        <w:t>plus</w:t>
      </w:r>
      <w:r w:rsidRPr="00981B89">
        <w:t xml:space="preserve"> GST</w:t>
      </w:r>
      <w:r w:rsidR="002F720C">
        <w:t xml:space="preserve"> where applicable</w:t>
      </w:r>
      <w:r w:rsidRPr="00981B89">
        <w:t>) for projects and services</w:t>
      </w:r>
      <w:r w:rsidR="003C5E8E" w:rsidRPr="00981B89">
        <w:t>.</w:t>
      </w:r>
      <w:r w:rsidR="00F72526">
        <w:t xml:space="preserve"> Where GOL holds funds on behalf of a Signatory, GOL may apply those funds to payment of an invoice.</w:t>
      </w:r>
    </w:p>
    <w:p w14:paraId="17BF62C1" w14:textId="77777777" w:rsidR="00C935B2" w:rsidRPr="00981B89" w:rsidRDefault="00084D1E" w:rsidP="00981B89">
      <w:pPr>
        <w:pStyle w:val="Heading2"/>
      </w:pPr>
      <w:r w:rsidRPr="00981B89">
        <w:t xml:space="preserve">Periodically (at least annually), GOL will compare </w:t>
      </w:r>
      <w:r w:rsidR="00C935B2" w:rsidRPr="00981B89">
        <w:t>C</w:t>
      </w:r>
      <w:r w:rsidRPr="00981B89">
        <w:t xml:space="preserve">ontributions collected versus amounts dispensed on behalf of each </w:t>
      </w:r>
      <w:r w:rsidR="00C935B2" w:rsidRPr="00981B89">
        <w:t>Signatory, and:</w:t>
      </w:r>
    </w:p>
    <w:p w14:paraId="243C3432" w14:textId="77777777" w:rsidR="00C935B2" w:rsidRPr="004B070D" w:rsidRDefault="00084D1E" w:rsidP="004B070D">
      <w:pPr>
        <w:pStyle w:val="ListParagraph"/>
        <w:numPr>
          <w:ilvl w:val="0"/>
          <w:numId w:val="2"/>
        </w:numPr>
      </w:pPr>
      <w:r w:rsidRPr="004B070D">
        <w:t xml:space="preserve">Where there is a surplus, GOL </w:t>
      </w:r>
      <w:r w:rsidR="00F02602" w:rsidRPr="004B070D">
        <w:t>may</w:t>
      </w:r>
      <w:r w:rsidRPr="004B070D">
        <w:t xml:space="preserve"> either return the ‘overpayment’ or disco</w:t>
      </w:r>
      <w:r w:rsidR="00C935B2" w:rsidRPr="004B070D">
        <w:t>unt it against the next quarter;</w:t>
      </w:r>
    </w:p>
    <w:p w14:paraId="34AB30D7" w14:textId="77777777" w:rsidR="00084D1E" w:rsidRDefault="00C935B2" w:rsidP="004B070D">
      <w:pPr>
        <w:pStyle w:val="ListParagraph"/>
        <w:numPr>
          <w:ilvl w:val="0"/>
          <w:numId w:val="2"/>
        </w:numPr>
      </w:pPr>
      <w:r w:rsidRPr="004B070D">
        <w:t xml:space="preserve">Where there is a deficit, the Signatory concerned must make that up to GOL on demand. </w:t>
      </w:r>
    </w:p>
    <w:p w14:paraId="267D774E" w14:textId="77777777" w:rsidR="005F20D5" w:rsidRPr="004B070D" w:rsidRDefault="005F20D5" w:rsidP="00641FBF">
      <w:pPr>
        <w:pStyle w:val="Heading1"/>
      </w:pPr>
      <w:r w:rsidRPr="004B070D">
        <w:t xml:space="preserve">Pay as you go </w:t>
      </w:r>
    </w:p>
    <w:p w14:paraId="3656C4F3" w14:textId="77777777" w:rsidR="002F720C" w:rsidRDefault="002F720C" w:rsidP="00641FBF">
      <w:pPr>
        <w:pStyle w:val="Heading2"/>
      </w:pPr>
      <w:r>
        <w:t xml:space="preserve">Where a </w:t>
      </w:r>
      <w:r w:rsidR="009A39CA" w:rsidRPr="004B070D">
        <w:t>Signator</w:t>
      </w:r>
      <w:r>
        <w:t xml:space="preserve">y nominates </w:t>
      </w:r>
      <w:r w:rsidR="005F20D5" w:rsidRPr="004B070D">
        <w:t>a ‘pay as you go’ arrangement</w:t>
      </w:r>
      <w:r>
        <w:t>:</w:t>
      </w:r>
    </w:p>
    <w:p w14:paraId="39CE8168" w14:textId="77777777" w:rsidR="002F720C" w:rsidRDefault="002F720C" w:rsidP="002F720C">
      <w:pPr>
        <w:pStyle w:val="Heading2"/>
        <w:numPr>
          <w:ilvl w:val="0"/>
          <w:numId w:val="6"/>
        </w:numPr>
      </w:pPr>
      <w:r>
        <w:t>GOL will not receive and hold funds on that Signatory’s behalf;</w:t>
      </w:r>
    </w:p>
    <w:p w14:paraId="42475889" w14:textId="77777777" w:rsidR="001718FE" w:rsidRPr="001718FE" w:rsidRDefault="001718FE" w:rsidP="001718FE">
      <w:pPr>
        <w:pStyle w:val="Heading2"/>
        <w:numPr>
          <w:ilvl w:val="0"/>
          <w:numId w:val="6"/>
        </w:numPr>
      </w:pPr>
      <w:r>
        <w:lastRenderedPageBreak/>
        <w:t>GOL will only commission work for which the Signatory has made a clear commitment to pay;</w:t>
      </w:r>
    </w:p>
    <w:p w14:paraId="461C4CDF" w14:textId="77777777" w:rsidR="002F720C" w:rsidRDefault="002F720C" w:rsidP="002F720C">
      <w:pPr>
        <w:pStyle w:val="Heading2"/>
        <w:numPr>
          <w:ilvl w:val="0"/>
          <w:numId w:val="6"/>
        </w:numPr>
      </w:pPr>
      <w:r>
        <w:t xml:space="preserve">Where the work </w:t>
      </w:r>
      <w:r w:rsidR="00C95AC9">
        <w:t xml:space="preserve">is </w:t>
      </w:r>
      <w:r w:rsidR="00084D1E" w:rsidRPr="004B070D">
        <w:t>done or paid for by the GIA Secretariat</w:t>
      </w:r>
      <w:r>
        <w:t>,</w:t>
      </w:r>
      <w:r w:rsidR="00C95AC9">
        <w:t xml:space="preserve"> </w:t>
      </w:r>
      <w:r w:rsidRPr="002F720C">
        <w:t xml:space="preserve">GOL </w:t>
      </w:r>
      <w:r w:rsidR="007C5069">
        <w:t>may</w:t>
      </w:r>
      <w:r>
        <w:t xml:space="preserve"> </w:t>
      </w:r>
      <w:r w:rsidRPr="002F720C">
        <w:t xml:space="preserve">invoice Signatories </w:t>
      </w:r>
      <w:r w:rsidR="007C5069">
        <w:t xml:space="preserve">on its behalf </w:t>
      </w:r>
      <w:r w:rsidRPr="002F720C">
        <w:t xml:space="preserve">for </w:t>
      </w:r>
      <w:r w:rsidR="00C95AC9">
        <w:t xml:space="preserve">the </w:t>
      </w:r>
      <w:r w:rsidRPr="002F720C">
        <w:t>work</w:t>
      </w:r>
      <w:r>
        <w:t>; and</w:t>
      </w:r>
    </w:p>
    <w:p w14:paraId="46BDDD54" w14:textId="77777777" w:rsidR="001718FE" w:rsidRPr="001718FE" w:rsidRDefault="00084D1E" w:rsidP="001718FE">
      <w:pPr>
        <w:pStyle w:val="Heading2"/>
        <w:numPr>
          <w:ilvl w:val="0"/>
          <w:numId w:val="6"/>
        </w:numPr>
      </w:pPr>
      <w:r w:rsidRPr="004B070D">
        <w:t xml:space="preserve">Where work is commissioned from other service providers, those providers will invoice </w:t>
      </w:r>
      <w:r w:rsidR="002F720C">
        <w:t xml:space="preserve">the relevant </w:t>
      </w:r>
      <w:r w:rsidR="00C12E5A" w:rsidRPr="004B070D">
        <w:t>Signatories</w:t>
      </w:r>
      <w:r w:rsidRPr="004B070D">
        <w:t xml:space="preserve"> directly</w:t>
      </w:r>
      <w:r w:rsidR="002F720C">
        <w:t>.</w:t>
      </w:r>
    </w:p>
    <w:p w14:paraId="7CE0C2F1" w14:textId="77777777" w:rsidR="00DE23FA" w:rsidRPr="004B070D" w:rsidRDefault="009309C1" w:rsidP="00641FBF">
      <w:pPr>
        <w:pStyle w:val="Heading1"/>
      </w:pPr>
      <w:r w:rsidRPr="004B070D">
        <w:t>Invoicing</w:t>
      </w:r>
    </w:p>
    <w:p w14:paraId="55A3992D" w14:textId="77777777" w:rsidR="00A971CB" w:rsidRPr="004B070D" w:rsidRDefault="009F1F48" w:rsidP="00641FBF">
      <w:pPr>
        <w:pStyle w:val="Heading2"/>
      </w:pPr>
      <w:r w:rsidRPr="004B070D">
        <w:t xml:space="preserve">Unless stated otherwise invoices are payable by the 20th of the month following the date of the invoice. Where </w:t>
      </w:r>
      <w:r w:rsidR="005F20D5" w:rsidRPr="004B070D">
        <w:t xml:space="preserve">GOL </w:t>
      </w:r>
      <w:r w:rsidRPr="004B070D">
        <w:t>do</w:t>
      </w:r>
      <w:r w:rsidR="00682DD2" w:rsidRPr="004B070D">
        <w:t>es</w:t>
      </w:r>
      <w:r w:rsidRPr="004B070D">
        <w:t xml:space="preserve"> not receive payment by </w:t>
      </w:r>
      <w:r w:rsidR="00E922BD" w:rsidRPr="004B070D">
        <w:t>the due date</w:t>
      </w:r>
      <w:r w:rsidRPr="004B070D">
        <w:t xml:space="preserve">, </w:t>
      </w:r>
      <w:r w:rsidR="005F20D5" w:rsidRPr="004B070D">
        <w:t>GOL</w:t>
      </w:r>
      <w:r w:rsidRPr="004B070D">
        <w:t xml:space="preserve"> may charge</w:t>
      </w:r>
      <w:r w:rsidR="005F20D5" w:rsidRPr="004B070D">
        <w:t xml:space="preserve"> interest at the rate </w:t>
      </w:r>
      <w:r w:rsidR="005F20D5" w:rsidRPr="00B4129B">
        <w:t>of 1</w:t>
      </w:r>
      <w:r w:rsidRPr="00B4129B">
        <w:t>%</w:t>
      </w:r>
      <w:r w:rsidRPr="004B070D">
        <w:t xml:space="preserve"> per month plus </w:t>
      </w:r>
      <w:r w:rsidR="00FB2387" w:rsidRPr="004B070D">
        <w:t xml:space="preserve">all </w:t>
      </w:r>
      <w:r w:rsidR="005F20D5" w:rsidRPr="004B070D">
        <w:t xml:space="preserve">related </w:t>
      </w:r>
      <w:r w:rsidRPr="004B070D">
        <w:t>costs</w:t>
      </w:r>
      <w:r w:rsidR="001718FE">
        <w:t xml:space="preserve"> (or at the rate specified in the relevant OA, if this applies</w:t>
      </w:r>
      <w:r w:rsidR="007C5069">
        <w:t>, plus all related costs</w:t>
      </w:r>
      <w:r w:rsidR="001718FE">
        <w:t>)</w:t>
      </w:r>
      <w:r w:rsidRPr="004B070D">
        <w:t xml:space="preserve">.  </w:t>
      </w:r>
      <w:r w:rsidR="00F501AE">
        <w:t>Where necessary and appropriate, debt recovery services will be employed for debts beyond three months</w:t>
      </w:r>
      <w:r w:rsidR="007C5069">
        <w:t xml:space="preserve"> at the invoiced party’s cost</w:t>
      </w:r>
      <w:r w:rsidR="00F501AE">
        <w:t>.</w:t>
      </w:r>
    </w:p>
    <w:p w14:paraId="0038367B" w14:textId="77777777" w:rsidR="00E6497C" w:rsidRPr="004B070D" w:rsidRDefault="00E6497C" w:rsidP="00641FBF">
      <w:pPr>
        <w:pStyle w:val="Heading2"/>
      </w:pPr>
      <w:r w:rsidRPr="004B070D">
        <w:t>GOL reserves the right to correct any error in any invoice</w:t>
      </w:r>
      <w:r w:rsidR="00AB0221">
        <w:t xml:space="preserve">, </w:t>
      </w:r>
      <w:r w:rsidRPr="004B070D">
        <w:t xml:space="preserve">payment instruction </w:t>
      </w:r>
      <w:r w:rsidR="00AB0221">
        <w:t xml:space="preserve">or payment </w:t>
      </w:r>
      <w:r w:rsidRPr="004B070D">
        <w:t xml:space="preserve">at any time, </w:t>
      </w:r>
      <w:r w:rsidR="00AB0221">
        <w:t xml:space="preserve">both before and after payment, </w:t>
      </w:r>
      <w:r w:rsidRPr="004B070D">
        <w:t>inc</w:t>
      </w:r>
      <w:r w:rsidR="00F82087">
        <w:t>luding by issuing a replacement and/or requiring a reimbursement.</w:t>
      </w:r>
    </w:p>
    <w:p w14:paraId="078ECC14" w14:textId="77777777" w:rsidR="009F1F48" w:rsidRPr="004B070D" w:rsidRDefault="009F1F48" w:rsidP="00641FBF">
      <w:pPr>
        <w:pStyle w:val="Heading2"/>
      </w:pPr>
      <w:r w:rsidRPr="004B070D">
        <w:t xml:space="preserve">Where </w:t>
      </w:r>
      <w:r w:rsidR="005F20D5" w:rsidRPr="004B070D">
        <w:t xml:space="preserve">GOL provides services to </w:t>
      </w:r>
      <w:r w:rsidR="00AB0221">
        <w:t>a Signatory</w:t>
      </w:r>
      <w:r w:rsidR="005F20D5" w:rsidRPr="004B070D">
        <w:t xml:space="preserve"> but agrees to </w:t>
      </w:r>
      <w:r w:rsidRPr="004B070D">
        <w:t xml:space="preserve">address the invoice to another person, </w:t>
      </w:r>
      <w:r w:rsidR="00FB2387" w:rsidRPr="004B070D">
        <w:t xml:space="preserve">the </w:t>
      </w:r>
      <w:r w:rsidR="00AB0221">
        <w:t>Signatory</w:t>
      </w:r>
      <w:r w:rsidR="005F20D5" w:rsidRPr="004B070D">
        <w:t xml:space="preserve"> </w:t>
      </w:r>
      <w:r w:rsidRPr="004B070D">
        <w:t>will pay that invoice if th</w:t>
      </w:r>
      <w:r w:rsidR="00AB0221">
        <w:t>at</w:t>
      </w:r>
      <w:r w:rsidRPr="004B070D">
        <w:t xml:space="preserve"> other person does not do so.</w:t>
      </w:r>
    </w:p>
    <w:p w14:paraId="0C37C202" w14:textId="77777777" w:rsidR="00A53632" w:rsidRPr="004B070D" w:rsidRDefault="005B282A" w:rsidP="00641FBF">
      <w:pPr>
        <w:pStyle w:val="Heading2"/>
      </w:pPr>
      <w:r>
        <w:t>Invoices will meet normal requirements for GST</w:t>
      </w:r>
      <w:r w:rsidR="00A53632" w:rsidRPr="004B070D">
        <w:t xml:space="preserve">.  </w:t>
      </w:r>
      <w:r w:rsidR="00F82087">
        <w:t>Signato</w:t>
      </w:r>
      <w:r w:rsidR="001718FE">
        <w:t>rie</w:t>
      </w:r>
      <w:r>
        <w:t>s shall be liable for any GST attributable to the services they receive.</w:t>
      </w:r>
    </w:p>
    <w:p w14:paraId="521A850F" w14:textId="77777777" w:rsidR="00DD2D28" w:rsidRPr="004B070D" w:rsidRDefault="00902EB7" w:rsidP="00641FBF">
      <w:pPr>
        <w:pStyle w:val="Heading1"/>
      </w:pPr>
      <w:r w:rsidRPr="004B070D">
        <w:t>Compliance</w:t>
      </w:r>
      <w:r w:rsidR="009309C1" w:rsidRPr="004B070D">
        <w:t xml:space="preserve"> and Remedies</w:t>
      </w:r>
    </w:p>
    <w:p w14:paraId="5E6F5FD3" w14:textId="77777777" w:rsidR="00902EB7" w:rsidRPr="004B070D" w:rsidRDefault="00902EB7" w:rsidP="00641FBF">
      <w:pPr>
        <w:pStyle w:val="Heading2"/>
      </w:pPr>
      <w:r w:rsidRPr="004B070D">
        <w:t xml:space="preserve">All persons using GOL services agree to comply with all applicable laws and regulations and all reasonable requirements of </w:t>
      </w:r>
      <w:r w:rsidR="003800C7" w:rsidRPr="004B070D">
        <w:t xml:space="preserve">the </w:t>
      </w:r>
      <w:r w:rsidRPr="004B070D">
        <w:t>GIA D</w:t>
      </w:r>
      <w:r w:rsidR="005B282A">
        <w:t>eed Governance Group</w:t>
      </w:r>
      <w:r w:rsidRPr="004B070D">
        <w:t>.</w:t>
      </w:r>
    </w:p>
    <w:p w14:paraId="71BC109E" w14:textId="77777777" w:rsidR="001141EA" w:rsidRPr="004B070D" w:rsidRDefault="00D40220" w:rsidP="00641FBF">
      <w:pPr>
        <w:pStyle w:val="Heading2"/>
      </w:pPr>
      <w:r w:rsidRPr="004B070D">
        <w:t xml:space="preserve">Signatories </w:t>
      </w:r>
      <w:r w:rsidR="00902EB7" w:rsidRPr="004B070D">
        <w:t xml:space="preserve">agree they are </w:t>
      </w:r>
      <w:r w:rsidR="001141EA" w:rsidRPr="004B070D">
        <w:t xml:space="preserve">acquiring </w:t>
      </w:r>
      <w:r w:rsidR="00902EB7" w:rsidRPr="004B070D">
        <w:t xml:space="preserve">services </w:t>
      </w:r>
      <w:r w:rsidRPr="004B070D">
        <w:t xml:space="preserve">from GOL </w:t>
      </w:r>
      <w:r w:rsidR="001141EA" w:rsidRPr="004B070D">
        <w:t>in trade, and not as a consumer, and that no</w:t>
      </w:r>
      <w:r w:rsidRPr="004B070D">
        <w:t xml:space="preserve"> consumer protection laws apply. </w:t>
      </w:r>
    </w:p>
    <w:p w14:paraId="56D67DF9" w14:textId="77777777" w:rsidR="008666C3" w:rsidRPr="004B070D" w:rsidRDefault="00136B9A" w:rsidP="00641FBF">
      <w:pPr>
        <w:pStyle w:val="Heading2"/>
      </w:pPr>
      <w:r w:rsidRPr="004B070D">
        <w:t xml:space="preserve">To the extent permitted by law, </w:t>
      </w:r>
      <w:r w:rsidR="00F82087">
        <w:t xml:space="preserve">GOL excludes </w:t>
      </w:r>
      <w:r w:rsidRPr="004B070D">
        <w:t>all representations and warranties</w:t>
      </w:r>
      <w:r w:rsidR="00F82087">
        <w:t>, and GOL’s liability to any OA Council or participating Signatory shall not exceed returning funds actually then held by GOL on their behalf.</w:t>
      </w:r>
      <w:r w:rsidRPr="004B070D">
        <w:t xml:space="preserve">  </w:t>
      </w:r>
      <w:r w:rsidR="008E0035">
        <w:t xml:space="preserve">GOL shall not be liable to any person for any consequential loss or damage.  </w:t>
      </w:r>
    </w:p>
    <w:p w14:paraId="7DABADF8" w14:textId="77777777" w:rsidR="00B8541F" w:rsidRPr="004B070D" w:rsidRDefault="00902EB7" w:rsidP="00641FBF">
      <w:pPr>
        <w:pStyle w:val="Heading2"/>
        <w:rPr>
          <w:color w:val="333333"/>
        </w:rPr>
      </w:pPr>
      <w:r w:rsidRPr="004B070D">
        <w:t xml:space="preserve">GOL </w:t>
      </w:r>
      <w:r w:rsidR="00E02BAF" w:rsidRPr="004B070D">
        <w:t xml:space="preserve">will </w:t>
      </w:r>
      <w:r w:rsidR="007D115B" w:rsidRPr="004B070D">
        <w:rPr>
          <w:color w:val="333333"/>
        </w:rPr>
        <w:t>not be responsible for any delay, damage, or loss due to any cause beyond</w:t>
      </w:r>
      <w:r w:rsidR="00C643D4" w:rsidRPr="004B070D">
        <w:rPr>
          <w:color w:val="333333"/>
        </w:rPr>
        <w:t xml:space="preserve"> </w:t>
      </w:r>
      <w:r w:rsidRPr="004B070D">
        <w:rPr>
          <w:color w:val="333333"/>
        </w:rPr>
        <w:t>its</w:t>
      </w:r>
      <w:r w:rsidR="00C643D4" w:rsidRPr="004B070D">
        <w:rPr>
          <w:color w:val="333333"/>
        </w:rPr>
        <w:t xml:space="preserve"> reasonable </w:t>
      </w:r>
      <w:r w:rsidR="007D115B" w:rsidRPr="004B070D">
        <w:rPr>
          <w:color w:val="333333"/>
        </w:rPr>
        <w:t>control</w:t>
      </w:r>
      <w:r w:rsidRPr="004B070D">
        <w:rPr>
          <w:color w:val="333333"/>
        </w:rPr>
        <w:t>.</w:t>
      </w:r>
    </w:p>
    <w:p w14:paraId="3E3DEE3E" w14:textId="77777777" w:rsidR="002825E6" w:rsidRDefault="003800C7" w:rsidP="00F82087">
      <w:pPr>
        <w:pStyle w:val="Heading2"/>
      </w:pPr>
      <w:r w:rsidRPr="004B070D">
        <w:t xml:space="preserve">All </w:t>
      </w:r>
      <w:r w:rsidR="00F82087">
        <w:t xml:space="preserve">OA Councils and </w:t>
      </w:r>
      <w:r w:rsidRPr="004B070D">
        <w:t xml:space="preserve">Signatories dealing with GOL </w:t>
      </w:r>
      <w:r w:rsidR="002825E6" w:rsidRPr="004B070D">
        <w:t xml:space="preserve">indemnify </w:t>
      </w:r>
      <w:r w:rsidR="00F82087">
        <w:t xml:space="preserve">and hold harmless </w:t>
      </w:r>
      <w:r w:rsidR="00902EB7" w:rsidRPr="004B070D">
        <w:t>GOL</w:t>
      </w:r>
      <w:r w:rsidR="002825E6" w:rsidRPr="004B070D">
        <w:t xml:space="preserve"> </w:t>
      </w:r>
      <w:r w:rsidR="00F82087">
        <w:t>in respect of</w:t>
      </w:r>
      <w:r w:rsidR="002825E6" w:rsidRPr="004B070D">
        <w:t xml:space="preserve"> all damages, costs and/or expenses </w:t>
      </w:r>
      <w:r w:rsidR="00F82087">
        <w:t xml:space="preserve">of any person </w:t>
      </w:r>
      <w:r w:rsidR="002825E6" w:rsidRPr="004B070D">
        <w:t xml:space="preserve">arising from anything </w:t>
      </w:r>
      <w:r w:rsidR="00902EB7" w:rsidRPr="004B070D">
        <w:t xml:space="preserve">GOL </w:t>
      </w:r>
      <w:r w:rsidR="002825E6" w:rsidRPr="004B070D">
        <w:t>do</w:t>
      </w:r>
      <w:r w:rsidR="00902EB7" w:rsidRPr="004B070D">
        <w:t>es</w:t>
      </w:r>
      <w:r w:rsidR="002825E6" w:rsidRPr="004B070D">
        <w:t xml:space="preserve"> </w:t>
      </w:r>
      <w:r w:rsidR="00EF4261" w:rsidRPr="004B070D">
        <w:t xml:space="preserve">at </w:t>
      </w:r>
      <w:r w:rsidR="00F82087">
        <w:t xml:space="preserve">the </w:t>
      </w:r>
      <w:r w:rsidR="00EF4261" w:rsidRPr="004B070D">
        <w:t>request</w:t>
      </w:r>
      <w:r w:rsidR="00F82087" w:rsidRPr="00F82087">
        <w:t xml:space="preserve"> </w:t>
      </w:r>
      <w:r w:rsidR="00F82087">
        <w:t xml:space="preserve">of that </w:t>
      </w:r>
      <w:r w:rsidR="00F82087" w:rsidRPr="00F82087">
        <w:t>OA Council or Signatory</w:t>
      </w:r>
      <w:r w:rsidR="002825E6" w:rsidRPr="004B070D">
        <w:t xml:space="preserve">, including for </w:t>
      </w:r>
      <w:r w:rsidR="00902EB7" w:rsidRPr="004B070D">
        <w:t>any tax liability or breach of any law.</w:t>
      </w:r>
    </w:p>
    <w:p w14:paraId="68E990C5" w14:textId="77777777" w:rsidR="00C733BB" w:rsidRDefault="00C733BB" w:rsidP="00C733BB"/>
    <w:p w14:paraId="6363C402" w14:textId="77777777" w:rsidR="00C733BB" w:rsidRDefault="00C733BB" w:rsidP="00C733BB"/>
    <w:p w14:paraId="056376E4" w14:textId="77777777" w:rsidR="00C733BB" w:rsidRPr="00C733BB" w:rsidRDefault="00C733BB" w:rsidP="00C733BB"/>
    <w:p w14:paraId="53D4CD76" w14:textId="77777777" w:rsidR="00544A67" w:rsidRPr="00544A67" w:rsidRDefault="00544A67" w:rsidP="00544A67">
      <w:pPr>
        <w:pStyle w:val="Heading1"/>
      </w:pPr>
      <w:r>
        <w:lastRenderedPageBreak/>
        <w:t>Termination</w:t>
      </w:r>
    </w:p>
    <w:p w14:paraId="25DB1065" w14:textId="77777777" w:rsidR="00544A67" w:rsidRDefault="00544A67" w:rsidP="00544A67">
      <w:pPr>
        <w:pStyle w:val="Heading2"/>
      </w:pPr>
      <w:r>
        <w:t>Subject to the terms of any specific contract or arrangement, contracts or arrangements formed under these terms may be terminated on two week’s written notice.  Provided that on termination:</w:t>
      </w:r>
    </w:p>
    <w:p w14:paraId="6010B514" w14:textId="77777777" w:rsidR="00544A67" w:rsidRDefault="00544A67" w:rsidP="00544A67">
      <w:pPr>
        <w:pStyle w:val="ListParagraph"/>
        <w:numPr>
          <w:ilvl w:val="0"/>
          <w:numId w:val="7"/>
        </w:numPr>
      </w:pPr>
      <w:r>
        <w:t xml:space="preserve">GOL’s liability shall be limited to returning  </w:t>
      </w:r>
      <w:r w:rsidRPr="00544A67">
        <w:t>funds actually then held by GOL on behalf</w:t>
      </w:r>
      <w:r>
        <w:t xml:space="preserve"> of participating Signatories;</w:t>
      </w:r>
    </w:p>
    <w:p w14:paraId="7BFF978E" w14:textId="77777777" w:rsidR="00544A67" w:rsidRPr="00544A67" w:rsidRDefault="00544A67" w:rsidP="00544A67">
      <w:pPr>
        <w:pStyle w:val="ListParagraph"/>
        <w:numPr>
          <w:ilvl w:val="0"/>
          <w:numId w:val="7"/>
        </w:numPr>
      </w:pPr>
      <w:r>
        <w:t>Participating Signatories and OA Councils remain liable for performing any obligations incurred up to the date of termination.</w:t>
      </w:r>
      <w:r w:rsidRPr="00544A67">
        <w:t xml:space="preserve">  </w:t>
      </w:r>
    </w:p>
    <w:p w14:paraId="176613E1" w14:textId="77777777" w:rsidR="00680EE4" w:rsidRPr="004B070D" w:rsidRDefault="00680EE4" w:rsidP="00641FBF">
      <w:pPr>
        <w:pStyle w:val="Heading1"/>
      </w:pPr>
      <w:r w:rsidRPr="004B070D">
        <w:t>General</w:t>
      </w:r>
    </w:p>
    <w:p w14:paraId="42156ACA" w14:textId="77777777" w:rsidR="008E0035" w:rsidRPr="008E0035" w:rsidRDefault="008E0035" w:rsidP="008E0035">
      <w:pPr>
        <w:pStyle w:val="Heading2"/>
      </w:pPr>
      <w:r w:rsidRPr="008E0035">
        <w:t xml:space="preserve">GOL retains all intellectual property in all services it provides. </w:t>
      </w:r>
    </w:p>
    <w:p w14:paraId="4AAEAF3C" w14:textId="77777777" w:rsidR="00544A67" w:rsidRDefault="00544A67" w:rsidP="00423A09">
      <w:pPr>
        <w:pStyle w:val="Heading2"/>
      </w:pPr>
      <w:r>
        <w:t>GOL may assign its rights and duties under these terms.</w:t>
      </w:r>
    </w:p>
    <w:p w14:paraId="2A856132" w14:textId="77777777" w:rsidR="00544A67" w:rsidRPr="00544A67" w:rsidRDefault="00CC261C" w:rsidP="008E0035">
      <w:pPr>
        <w:pStyle w:val="Heading2"/>
      </w:pPr>
      <w:r>
        <w:t xml:space="preserve">GOL may </w:t>
      </w:r>
      <w:r w:rsidR="00544A67">
        <w:t>off</w:t>
      </w:r>
      <w:r>
        <w:t>set</w:t>
      </w:r>
      <w:r w:rsidR="00544A67">
        <w:t xml:space="preserve"> any moneys </w:t>
      </w:r>
      <w:r w:rsidR="008E0035">
        <w:t xml:space="preserve">it owes </w:t>
      </w:r>
      <w:r w:rsidR="00544A67">
        <w:t>to a Signatory or OA Council against any liabilities of that Signatory or OA Council</w:t>
      </w:r>
      <w:r w:rsidR="00F94D8D">
        <w:t xml:space="preserve"> to GOL</w:t>
      </w:r>
      <w:r w:rsidR="008E0035">
        <w:t>.</w:t>
      </w:r>
    </w:p>
    <w:p w14:paraId="59EE912E" w14:textId="77777777" w:rsidR="008E0035" w:rsidRPr="008E0035" w:rsidRDefault="005956FF" w:rsidP="005956FF">
      <w:pPr>
        <w:pStyle w:val="Heading2"/>
      </w:pPr>
      <w:r w:rsidRPr="005956FF">
        <w:t>GOL may revise these terms at any time, and may agree to vary these terms in any particular ins</w:t>
      </w:r>
      <w:r w:rsidR="00F94D8D">
        <w:t>tance. This will</w:t>
      </w:r>
      <w:r w:rsidRPr="005956FF">
        <w:t xml:space="preserve"> be in writing.</w:t>
      </w:r>
      <w:r>
        <w:t xml:space="preserve">  </w:t>
      </w:r>
    </w:p>
    <w:p w14:paraId="30447FA2" w14:textId="77777777" w:rsidR="00135C29" w:rsidRPr="004B070D" w:rsidRDefault="00135C29" w:rsidP="00641FBF">
      <w:pPr>
        <w:pStyle w:val="Heading2"/>
      </w:pPr>
      <w:r w:rsidRPr="004B070D">
        <w:t xml:space="preserve">Written communication may be by e-mail.  GOL’s e-mail is </w:t>
      </w:r>
      <w:r w:rsidR="009B1273">
        <w:t>steve.rich@gia.org.nz</w:t>
      </w:r>
      <w:r w:rsidRPr="004B070D">
        <w:t>.   Each Signatory agrees to receive communication by e-mail to an officer, employee or other customary e-mail contact of that Signatory.</w:t>
      </w:r>
    </w:p>
    <w:sectPr w:rsidR="00135C29" w:rsidRPr="004B070D" w:rsidSect="00641FBF">
      <w:footerReference w:type="default" r:id="rId11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5A4E69" w14:textId="77777777" w:rsidR="00C71064" w:rsidRDefault="00C71064" w:rsidP="00EA2C12">
      <w:pPr>
        <w:spacing w:after="0" w:line="240" w:lineRule="auto"/>
      </w:pPr>
      <w:r>
        <w:separator/>
      </w:r>
    </w:p>
  </w:endnote>
  <w:endnote w:type="continuationSeparator" w:id="0">
    <w:p w14:paraId="3B63B1E4" w14:textId="77777777" w:rsidR="00C71064" w:rsidRDefault="00C71064" w:rsidP="00EA2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65751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165B2C" w14:textId="77777777" w:rsidR="00EA2C12" w:rsidRDefault="00EA2C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70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4B4803A" w14:textId="77777777" w:rsidR="00EA2C12" w:rsidRPr="007B5162" w:rsidRDefault="007B5162" w:rsidP="007B5162">
    <w:pPr>
      <w:pStyle w:val="Footer"/>
      <w:jc w:val="right"/>
      <w:rPr>
        <w:i/>
      </w:rPr>
    </w:pPr>
    <w:r w:rsidRPr="007B5162">
      <w:rPr>
        <w:i/>
      </w:rPr>
      <w:t>Version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96D6DF" w14:textId="77777777" w:rsidR="00C71064" w:rsidRDefault="00C71064" w:rsidP="00EA2C12">
      <w:pPr>
        <w:spacing w:after="0" w:line="240" w:lineRule="auto"/>
      </w:pPr>
      <w:r>
        <w:separator/>
      </w:r>
    </w:p>
  </w:footnote>
  <w:footnote w:type="continuationSeparator" w:id="0">
    <w:p w14:paraId="156FD132" w14:textId="77777777" w:rsidR="00C71064" w:rsidRDefault="00C71064" w:rsidP="00EA2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90DB0"/>
    <w:multiLevelType w:val="hybridMultilevel"/>
    <w:tmpl w:val="78A0272E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451E3D"/>
    <w:multiLevelType w:val="hybridMultilevel"/>
    <w:tmpl w:val="72CA3E28"/>
    <w:lvl w:ilvl="0" w:tplc="1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40496D1F"/>
    <w:multiLevelType w:val="hybridMultilevel"/>
    <w:tmpl w:val="4014D3E0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775B18"/>
    <w:multiLevelType w:val="hybridMultilevel"/>
    <w:tmpl w:val="BD4A3EDE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552D48"/>
    <w:multiLevelType w:val="multilevel"/>
    <w:tmpl w:val="AE4AEEDC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ascii="Calibri" w:hAnsi="Calibri" w:hint="default"/>
        <w:sz w:val="22"/>
      </w:rPr>
    </w:lvl>
    <w:lvl w:ilvl="1">
      <w:start w:val="1"/>
      <w:numFmt w:val="decimal"/>
      <w:pStyle w:val="Heading2"/>
      <w:lvlText w:val="%1.%2"/>
      <w:lvlJc w:val="left"/>
      <w:pPr>
        <w:ind w:left="1134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4"/>
  </w:num>
  <w:num w:numId="5">
    <w:abstractNumId w:val="4"/>
  </w:num>
  <w:num w:numId="6">
    <w:abstractNumId w:val="1"/>
  </w:num>
  <w:num w:numId="7">
    <w:abstractNumId w:val="0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C3"/>
    <w:rsid w:val="00016695"/>
    <w:rsid w:val="00071CEC"/>
    <w:rsid w:val="00073756"/>
    <w:rsid w:val="00084D1E"/>
    <w:rsid w:val="000938DB"/>
    <w:rsid w:val="00097B71"/>
    <w:rsid w:val="000B15CA"/>
    <w:rsid w:val="001018C0"/>
    <w:rsid w:val="001141EA"/>
    <w:rsid w:val="00114AF3"/>
    <w:rsid w:val="00135C29"/>
    <w:rsid w:val="00136B9A"/>
    <w:rsid w:val="001504EF"/>
    <w:rsid w:val="00160C9C"/>
    <w:rsid w:val="001718FE"/>
    <w:rsid w:val="001A6EB5"/>
    <w:rsid w:val="001B0DE6"/>
    <w:rsid w:val="001D775E"/>
    <w:rsid w:val="00206C33"/>
    <w:rsid w:val="002125F8"/>
    <w:rsid w:val="00227188"/>
    <w:rsid w:val="00233C00"/>
    <w:rsid w:val="00254A27"/>
    <w:rsid w:val="002825E6"/>
    <w:rsid w:val="002F720C"/>
    <w:rsid w:val="00315F90"/>
    <w:rsid w:val="00317F19"/>
    <w:rsid w:val="00371BC5"/>
    <w:rsid w:val="003800C7"/>
    <w:rsid w:val="003A5477"/>
    <w:rsid w:val="003C5E8E"/>
    <w:rsid w:val="003D49A9"/>
    <w:rsid w:val="003D52CE"/>
    <w:rsid w:val="004221F8"/>
    <w:rsid w:val="004354D7"/>
    <w:rsid w:val="004726E2"/>
    <w:rsid w:val="004B070D"/>
    <w:rsid w:val="004D20F9"/>
    <w:rsid w:val="004F0C83"/>
    <w:rsid w:val="00544A67"/>
    <w:rsid w:val="0056216D"/>
    <w:rsid w:val="00564C0E"/>
    <w:rsid w:val="0057461B"/>
    <w:rsid w:val="00583B9D"/>
    <w:rsid w:val="005932C4"/>
    <w:rsid w:val="005956FF"/>
    <w:rsid w:val="005A1FD8"/>
    <w:rsid w:val="005B282A"/>
    <w:rsid w:val="005B4A59"/>
    <w:rsid w:val="005F20D5"/>
    <w:rsid w:val="006121DB"/>
    <w:rsid w:val="00641FBF"/>
    <w:rsid w:val="006552AB"/>
    <w:rsid w:val="00665CAF"/>
    <w:rsid w:val="006751B0"/>
    <w:rsid w:val="00680EE4"/>
    <w:rsid w:val="00682DD2"/>
    <w:rsid w:val="006A0BB7"/>
    <w:rsid w:val="006B57DD"/>
    <w:rsid w:val="0070097D"/>
    <w:rsid w:val="007279B1"/>
    <w:rsid w:val="007533AB"/>
    <w:rsid w:val="00753468"/>
    <w:rsid w:val="007B5162"/>
    <w:rsid w:val="007C5069"/>
    <w:rsid w:val="007D115B"/>
    <w:rsid w:val="007F0EE2"/>
    <w:rsid w:val="008639B6"/>
    <w:rsid w:val="008666C3"/>
    <w:rsid w:val="0087220E"/>
    <w:rsid w:val="0089092D"/>
    <w:rsid w:val="008D2DB1"/>
    <w:rsid w:val="008E0035"/>
    <w:rsid w:val="008F3BD2"/>
    <w:rsid w:val="00902EB7"/>
    <w:rsid w:val="00925ECC"/>
    <w:rsid w:val="009309C1"/>
    <w:rsid w:val="00934871"/>
    <w:rsid w:val="009400C0"/>
    <w:rsid w:val="00945324"/>
    <w:rsid w:val="009607EA"/>
    <w:rsid w:val="009767E2"/>
    <w:rsid w:val="00981B89"/>
    <w:rsid w:val="009A39CA"/>
    <w:rsid w:val="009B1273"/>
    <w:rsid w:val="009E54E6"/>
    <w:rsid w:val="009F1F48"/>
    <w:rsid w:val="00A05A0D"/>
    <w:rsid w:val="00A110FC"/>
    <w:rsid w:val="00A260D4"/>
    <w:rsid w:val="00A53632"/>
    <w:rsid w:val="00A924B0"/>
    <w:rsid w:val="00A94DC9"/>
    <w:rsid w:val="00A971CB"/>
    <w:rsid w:val="00AB0221"/>
    <w:rsid w:val="00AD16FC"/>
    <w:rsid w:val="00AE2CBF"/>
    <w:rsid w:val="00B16238"/>
    <w:rsid w:val="00B25B9C"/>
    <w:rsid w:val="00B3568D"/>
    <w:rsid w:val="00B4075E"/>
    <w:rsid w:val="00B4129B"/>
    <w:rsid w:val="00B62FB9"/>
    <w:rsid w:val="00B8541F"/>
    <w:rsid w:val="00B8708D"/>
    <w:rsid w:val="00B94756"/>
    <w:rsid w:val="00C12E5A"/>
    <w:rsid w:val="00C23370"/>
    <w:rsid w:val="00C5001A"/>
    <w:rsid w:val="00C643D4"/>
    <w:rsid w:val="00C71064"/>
    <w:rsid w:val="00C733BB"/>
    <w:rsid w:val="00C935B2"/>
    <w:rsid w:val="00C95056"/>
    <w:rsid w:val="00C95AC9"/>
    <w:rsid w:val="00CC261C"/>
    <w:rsid w:val="00CF11D1"/>
    <w:rsid w:val="00D23156"/>
    <w:rsid w:val="00D40220"/>
    <w:rsid w:val="00DD2D28"/>
    <w:rsid w:val="00DE23FA"/>
    <w:rsid w:val="00DF203C"/>
    <w:rsid w:val="00E02BAF"/>
    <w:rsid w:val="00E05097"/>
    <w:rsid w:val="00E6497C"/>
    <w:rsid w:val="00E77965"/>
    <w:rsid w:val="00E922BD"/>
    <w:rsid w:val="00EA2C12"/>
    <w:rsid w:val="00EC2FBE"/>
    <w:rsid w:val="00EF4261"/>
    <w:rsid w:val="00F02602"/>
    <w:rsid w:val="00F203B3"/>
    <w:rsid w:val="00F501AE"/>
    <w:rsid w:val="00F56E73"/>
    <w:rsid w:val="00F717B1"/>
    <w:rsid w:val="00F72526"/>
    <w:rsid w:val="00F82087"/>
    <w:rsid w:val="00F915C4"/>
    <w:rsid w:val="00F94D8D"/>
    <w:rsid w:val="00FB2387"/>
    <w:rsid w:val="00FB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FA502"/>
  <w15:chartTrackingRefBased/>
  <w15:docId w15:val="{2C44F828-9329-4B92-B211-4229F3A3B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70D"/>
    <w:pPr>
      <w:spacing w:after="120" w:line="276" w:lineRule="auto"/>
    </w:pPr>
    <w:rPr>
      <w:lang w:val="en-GB" w:eastAsia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1FBF"/>
    <w:pPr>
      <w:numPr>
        <w:numId w:val="3"/>
      </w:numPr>
      <w:spacing w:before="240"/>
      <w:outlineLvl w:val="0"/>
    </w:pPr>
    <w:rPr>
      <w:rFonts w:eastAsia="Times New Roman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FBF"/>
    <w:pPr>
      <w:numPr>
        <w:ilvl w:val="1"/>
        <w:numId w:val="3"/>
      </w:numPr>
      <w:outlineLvl w:val="1"/>
    </w:pPr>
    <w:rPr>
      <w:rFonts w:eastAsia="Times New Roman" w:cstheme="majorBidi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070D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070D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70D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70D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70D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70D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70D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1669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669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669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69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66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69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695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9092D"/>
    <w:pPr>
      <w:ind w:left="720"/>
      <w:contextualSpacing/>
    </w:pPr>
  </w:style>
  <w:style w:type="paragraph" w:customStyle="1" w:styleId="Head">
    <w:name w:val="Head"/>
    <w:basedOn w:val="Normal"/>
    <w:link w:val="HeadChar"/>
    <w:qFormat/>
    <w:rsid w:val="004B070D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641FBF"/>
    <w:rPr>
      <w:rFonts w:eastAsia="Times New Roman" w:cstheme="majorBidi"/>
      <w:b/>
      <w:szCs w:val="32"/>
      <w:lang w:val="en-GB" w:eastAsia="en-NZ"/>
    </w:rPr>
  </w:style>
  <w:style w:type="character" w:customStyle="1" w:styleId="HeadChar">
    <w:name w:val="Head Char"/>
    <w:basedOn w:val="DefaultParagraphFont"/>
    <w:link w:val="Head"/>
    <w:rsid w:val="004B070D"/>
    <w:rPr>
      <w:b/>
      <w:sz w:val="28"/>
      <w:szCs w:val="28"/>
      <w:lang w:val="en-GB" w:eastAsia="en-NZ"/>
    </w:rPr>
  </w:style>
  <w:style w:type="character" w:customStyle="1" w:styleId="Heading2Char">
    <w:name w:val="Heading 2 Char"/>
    <w:basedOn w:val="DefaultParagraphFont"/>
    <w:link w:val="Heading2"/>
    <w:uiPriority w:val="9"/>
    <w:rsid w:val="00641FBF"/>
    <w:rPr>
      <w:rFonts w:eastAsia="Times New Roman" w:cstheme="majorBidi"/>
      <w:lang w:val="en-GB" w:eastAsia="en-NZ"/>
    </w:rPr>
  </w:style>
  <w:style w:type="character" w:customStyle="1" w:styleId="Heading3Char">
    <w:name w:val="Heading 3 Char"/>
    <w:basedOn w:val="DefaultParagraphFont"/>
    <w:link w:val="Heading3"/>
    <w:uiPriority w:val="9"/>
    <w:rsid w:val="004B07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en-NZ"/>
    </w:rPr>
  </w:style>
  <w:style w:type="character" w:customStyle="1" w:styleId="Heading4Char">
    <w:name w:val="Heading 4 Char"/>
    <w:basedOn w:val="DefaultParagraphFont"/>
    <w:link w:val="Heading4"/>
    <w:uiPriority w:val="9"/>
    <w:rsid w:val="004B070D"/>
    <w:rPr>
      <w:rFonts w:asciiTheme="majorHAnsi" w:eastAsiaTheme="majorEastAsia" w:hAnsiTheme="majorHAnsi" w:cstheme="majorBidi"/>
      <w:i/>
      <w:iCs/>
      <w:color w:val="2E74B5" w:themeColor="accent1" w:themeShade="BF"/>
      <w:lang w:val="en-GB" w:eastAsia="en-NZ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70D"/>
    <w:rPr>
      <w:rFonts w:asciiTheme="majorHAnsi" w:eastAsiaTheme="majorEastAsia" w:hAnsiTheme="majorHAnsi" w:cstheme="majorBidi"/>
      <w:color w:val="2E74B5" w:themeColor="accent1" w:themeShade="BF"/>
      <w:lang w:val="en-GB" w:eastAsia="en-NZ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70D"/>
    <w:rPr>
      <w:rFonts w:asciiTheme="majorHAnsi" w:eastAsiaTheme="majorEastAsia" w:hAnsiTheme="majorHAnsi" w:cstheme="majorBidi"/>
      <w:color w:val="1F4D78" w:themeColor="accent1" w:themeShade="7F"/>
      <w:lang w:val="en-GB" w:eastAsia="en-NZ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70D"/>
    <w:rPr>
      <w:rFonts w:asciiTheme="majorHAnsi" w:eastAsiaTheme="majorEastAsia" w:hAnsiTheme="majorHAnsi" w:cstheme="majorBidi"/>
      <w:i/>
      <w:iCs/>
      <w:color w:val="1F4D78" w:themeColor="accent1" w:themeShade="7F"/>
      <w:lang w:val="en-GB" w:eastAsia="en-NZ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70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NZ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70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NZ"/>
    </w:rPr>
  </w:style>
  <w:style w:type="paragraph" w:styleId="Header">
    <w:name w:val="header"/>
    <w:basedOn w:val="Normal"/>
    <w:link w:val="HeaderChar"/>
    <w:uiPriority w:val="99"/>
    <w:unhideWhenUsed/>
    <w:rsid w:val="00EA2C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C12"/>
    <w:rPr>
      <w:lang w:val="en-GB" w:eastAsia="en-NZ"/>
    </w:rPr>
  </w:style>
  <w:style w:type="paragraph" w:styleId="Footer">
    <w:name w:val="footer"/>
    <w:basedOn w:val="Normal"/>
    <w:link w:val="FooterChar"/>
    <w:uiPriority w:val="99"/>
    <w:unhideWhenUsed/>
    <w:rsid w:val="00EA2C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C12"/>
    <w:rPr>
      <w:lang w:val="en-GB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0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3TopicNote xmlns="01be4277-2979-4a68-876d-b92b25fceece">
      <Terms xmlns="http://schemas.microsoft.com/office/infopath/2007/PartnerControls"/>
    </C3TopicNote>
    <k182b6bd2a994f8f95e924da00d78e9b xmlns="4ee17582-4bfd-407b-b553-e98b9af737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None</TermName>
          <TermId xmlns="http://schemas.microsoft.com/office/infopath/2007/PartnerControls">cf402fa0-b6a8-49a7-a22e-a95b6152c608</TermId>
        </TermInfo>
      </Terms>
    </k182b6bd2a994f8f95e924da00d78e9b>
    <PingarLastProcessed xmlns="4ee17582-4bfd-407b-b553-e98b9af73715" xsi:nil="true"/>
    <IconOverlay xmlns="http://schemas.microsoft.com/sharepoint/v4" xsi:nil="true"/>
    <ffcdb518397e41e8a5447fa46841a57f xmlns="4ee17582-4bfd-407b-b553-e98b9af73715">
      <Terms xmlns="http://schemas.microsoft.com/office/infopath/2007/PartnerControls"/>
    </ffcdb518397e41e8a5447fa46841a57f>
    <TaxKeywordTaxHTField xmlns="4ee17582-4bfd-407b-b553-e98b9af73715">
      <Terms xmlns="http://schemas.microsoft.com/office/infopath/2007/PartnerControls"/>
    </TaxKeywordTaxHTField>
    <e5d101e695d0413894eac226a6aa764c xmlns="4ee17582-4bfd-407b-b553-e98b9af73715">
      <Terms xmlns="http://schemas.microsoft.com/office/infopath/2007/PartnerControls"/>
    </e5d101e695d0413894eac226a6aa764c>
    <TaxCatchAll xmlns="4ee17582-4bfd-407b-b553-e98b9af73715">
      <Value>1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5496552013C0BA46BE88192D5C6EB20B00BC7B51C3C3DA487E91D1E0ED95F8C85C002B2379630760B546B933F02F174900F3" ma:contentTypeVersion="3" ma:contentTypeDescription="Create a new Word Document" ma:contentTypeScope="" ma:versionID="abdb7b6b7dbade9cb0f4e1be5f954c06">
  <xsd:schema xmlns:xsd="http://www.w3.org/2001/XMLSchema" xmlns:xs="http://www.w3.org/2001/XMLSchema" xmlns:p="http://schemas.microsoft.com/office/2006/metadata/properties" xmlns:ns3="01be4277-2979-4a68-876d-b92b25fceece" xmlns:ns4="4ee17582-4bfd-407b-b553-e98b9af73715" xmlns:ns6="http://schemas.microsoft.com/sharepoint/v4" targetNamespace="http://schemas.microsoft.com/office/2006/metadata/properties" ma:root="true" ma:fieldsID="25d090ea16ab86ebabf2270e95d003fe" ns3:_="" ns4:_="" ns6:_="">
    <xsd:import namespace="01be4277-2979-4a68-876d-b92b25fceece"/>
    <xsd:import namespace="4ee17582-4bfd-407b-b553-e98b9af7371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C3TopicNote" minOccurs="0"/>
                <xsd:element ref="ns4:TaxKeywordTaxHTField" minOccurs="0"/>
                <xsd:element ref="ns4:TaxCatchAll" minOccurs="0"/>
                <xsd:element ref="ns4:TaxCatchAllLabel" minOccurs="0"/>
                <xsd:element ref="ns4:k182b6bd2a994f8f95e924da00d78e9b" minOccurs="0"/>
                <xsd:element ref="ns4:ffcdb518397e41e8a5447fa46841a57f" minOccurs="0"/>
                <xsd:element ref="ns4:e5d101e695d0413894eac226a6aa764c" minOccurs="0"/>
                <xsd:element ref="ns4:PingarLastProcessed" minOccurs="0"/>
                <xsd:element ref="ns6:IconOverlay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e4277-2979-4a68-876d-b92b25fceece" elementFormDefault="qualified">
    <xsd:import namespace="http://schemas.microsoft.com/office/2006/documentManagement/types"/>
    <xsd:import namespace="http://schemas.microsoft.com/office/infopath/2007/PartnerControls"/>
    <xsd:element name="C3TopicNote" ma:index="9" nillable="true" ma:taxonomy="true" ma:internalName="C3TopicNote" ma:taxonomyFieldName="C3Topic" ma:displayName="Topic" ma:readOnly="false" ma:default="" ma:fieldId="{6a3fe89f-a6dd-4490-a9c1-3ef38d67b8c7}" ma:sspId="3bfd400a-bb0f-42a8-a885-98b592a0f767" ma:termSetId="3a592a89-6bc1-4c8c-80ff-f37625b7c14c" ma:anchorId="23787522-e14e-4906-8a9e-4afd1fd2360b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17582-4bfd-407b-b553-e98b9af73715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3bfd400a-bb0f-42a8-a885-98b592a0f76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149d6d31-bb35-4f13-bfd6-ffd1e34fa547}" ma:internalName="TaxCatchAll" ma:showField="CatchAllData" ma:web="4ee17582-4bfd-407b-b553-e98b9af737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149d6d31-bb35-4f13-bfd6-ffd1e34fa547}" ma:internalName="TaxCatchAllLabel" ma:readOnly="true" ma:showField="CatchAllDataLabel" ma:web="4ee17582-4bfd-407b-b553-e98b9af737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182b6bd2a994f8f95e924da00d78e9b" ma:index="14" nillable="true" ma:taxonomy="true" ma:internalName="k182b6bd2a994f8f95e924da00d78e9b" ma:taxonomyFieldName="MPISecurityClassification" ma:displayName="Security Classification" ma:default="1;#None|cf402fa0-b6a8-49a7-a22e-a95b6152c608" ma:fieldId="{4182b6bd-2a99-4f8f-95e9-24da00d78e9b}" ma:sspId="3bfd400a-bb0f-42a8-a885-98b592a0f767" ma:termSetId="0585e480-f249-45e9-9d9a-827200d7ed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fcdb518397e41e8a5447fa46841a57f" ma:index="17" nillable="true" ma:taxonomy="true" ma:internalName="ffcdb518397e41e8a5447fa46841a57f" ma:taxonomyFieldName="MPIYear" ma:displayName="Year" ma:default="" ma:fieldId="{ffcdb518-397e-41e8-a544-7fa46841a57f}" ma:sspId="3bfd400a-bb0f-42a8-a885-98b592a0f767" ma:termSetId="a2794d3b-ad43-433c-baba-58d8fc3e78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5d101e695d0413894eac226a6aa764c" ma:index="20" nillable="true" ma:taxonomy="true" ma:internalName="e5d101e695d0413894eac226a6aa764c" ma:taxonomyFieldName="PingarMPI_Terms" ma:displayName="Derived Terms" ma:fieldId="{e5d101e6-95d0-4138-94ea-c226a6aa764c}" ma:taxonomyMulti="true" ma:sspId="3bfd400a-bb0f-42a8-a885-98b592a0f767" ma:termSetId="c0c02398-e6f2-4f2e-9af7-34dd048d98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ingarLastProcessed" ma:index="21" nillable="true" ma:displayName="PingarLastProcessed" ma:format="DateTime" ma:internalName="PingarLastProcessed">
      <xsd:simpleType>
        <xsd:restriction base="dms:DateTime"/>
      </xsd:simpleType>
    </xsd:element>
    <xsd:element name="SharedWithUsers" ma:index="2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A8D714-9140-4D02-B013-8E9D313E44B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13DCC6C-3523-45B8-9B09-D67EEECC633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ee17582-4bfd-407b-b553-e98b9af73715"/>
    <ds:schemaRef ds:uri="http://purl.org/dc/terms/"/>
    <ds:schemaRef ds:uri="http://schemas.openxmlformats.org/package/2006/metadata/core-properties"/>
    <ds:schemaRef ds:uri="http://schemas.microsoft.com/sharepoint/v4"/>
    <ds:schemaRef ds:uri="01be4277-2979-4a68-876d-b92b25fceec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AA2A459-AB87-48ED-8D8A-B23B0DF59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e4277-2979-4a68-876d-b92b25fceece"/>
    <ds:schemaRef ds:uri="4ee17582-4bfd-407b-b553-e98b9af7371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1443E2-BB5B-411E-88E3-25F1916BE4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Ogilvie</dc:creator>
  <cp:keywords/>
  <dc:description/>
  <cp:lastModifiedBy>Rowena Burton</cp:lastModifiedBy>
  <cp:revision>2</cp:revision>
  <cp:lastPrinted>2017-10-04T21:37:00Z</cp:lastPrinted>
  <dcterms:created xsi:type="dcterms:W3CDTF">2018-09-10T01:25:00Z</dcterms:created>
  <dcterms:modified xsi:type="dcterms:W3CDTF">2018-09-10T01:25:00Z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0x0101005496552013C0BA46BE88192D5C6EB20B00BC7B51C3C3DA487E91D1E0ED95F8C85C002B2379630760B546B933F02F174900F3</vt:lpwstr>
  </property>
  <property fmtid="{D5CDD505-2E9C-101B-9397-08002B2CF9AE}" pid="3" name="C3Topic">
    <vt:lpwstr/>
  </property>
  <property fmtid="{D5CDD505-2E9C-101B-9397-08002B2CF9AE}" pid="4" name="TaxKeyword">
    <vt:lpwstr/>
  </property>
  <property fmtid="{D5CDD505-2E9C-101B-9397-08002B2CF9AE}" pid="5" name="MPISecurityClassification">
    <vt:lpwstr>1;#None|cf402fa0-b6a8-49a7-a22e-a95b6152c608</vt:lpwstr>
  </property>
  <property fmtid="{D5CDD505-2E9C-101B-9397-08002B2CF9AE}" pid="6" name="MPIYear">
    <vt:lpwstr/>
  </property>
  <property fmtid="{D5CDD505-2E9C-101B-9397-08002B2CF9AE}" pid="7" name="PingarMPI_Terms">
    <vt:lpwstr/>
  </property>
  <property fmtid="{D5CDD505-2E9C-101B-9397-08002B2CF9AE}" pid="8" name="RecordPoint_WorkflowType">
    <vt:lpwstr>ActiveSubmitStub</vt:lpwstr>
  </property>
  <property fmtid="{D5CDD505-2E9C-101B-9397-08002B2CF9AE}" pid="9" name="RecordPoint_ActiveItemUniqueId">
    <vt:lpwstr>{56b92fe5-a3d3-4dab-843f-8de6cc72a44a}</vt:lpwstr>
  </property>
  <property fmtid="{D5CDD505-2E9C-101B-9397-08002B2CF9AE}" pid="10" name="RecordPoint_ActiveItemWebId">
    <vt:lpwstr>{d3f04473-c0c5-486a-8e86-8b31f0d90391}</vt:lpwstr>
  </property>
  <property fmtid="{D5CDD505-2E9C-101B-9397-08002B2CF9AE}" pid="11" name="RecordPoint_ActiveItemSiteId">
    <vt:lpwstr>{5be09418-e8a7-4c01-88e6-46c25371056e}</vt:lpwstr>
  </property>
  <property fmtid="{D5CDD505-2E9C-101B-9397-08002B2CF9AE}" pid="12" name="RecordPoint_ActiveItemListId">
    <vt:lpwstr>{edb4d3ef-68f6-4306-a208-49876b7a11bd}</vt:lpwstr>
  </property>
  <property fmtid="{D5CDD505-2E9C-101B-9397-08002B2CF9AE}" pid="13" name="RecordPoint_RecordNumberSubmitted">
    <vt:lpwstr>R0003869293</vt:lpwstr>
  </property>
  <property fmtid="{D5CDD505-2E9C-101B-9397-08002B2CF9AE}" pid="14" name="RecordPoint_SubmissionCompleted">
    <vt:lpwstr>2018-09-05T18:22:24.7235080+12:00</vt:lpwstr>
  </property>
  <property fmtid="{D5CDD505-2E9C-101B-9397-08002B2CF9AE}" pid="15" name="RecordPoint_SubmissionDate">
    <vt:lpwstr/>
  </property>
  <property fmtid="{D5CDD505-2E9C-101B-9397-08002B2CF9AE}" pid="16" name="RecordPoint_ActiveItemMoved">
    <vt:lpwstr/>
  </property>
  <property fmtid="{D5CDD505-2E9C-101B-9397-08002B2CF9AE}" pid="17" name="RecordPoint_RecordFormat">
    <vt:lpwstr/>
  </property>
</Properties>
</file>